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center"/>
        <w:rPr>
          <w:b w:val="0"/>
        </w:rPr>
      </w:pPr>
      <w:r>
        <w:rPr>
          <w:b w:val="1"/>
        </w:rPr>
        <w:t>Конституционный Суд РФ подтвердил, что при задержке работодателем выплаты работнику компенсации морального вреда в связи с несчастным случаем на производстве с работодателя взыскиваются проценты, установленные частью первой статьи 236 ТК РФ.</w:t>
      </w:r>
    </w:p>
    <w:p w14:paraId="02000000">
      <w:pPr>
        <w:spacing w:after="0" w:before="0"/>
        <w:ind w:firstLine="709" w:left="0" w:right="0"/>
        <w:jc w:val="center"/>
        <w:rPr>
          <w:b w:val="1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Часть первая статьи 236 ТК РФ признана не противоречащей Конституции РФ, поскольку по своему конституционно-правовому смыслу в системе действующего правового регулирования она предполагает начисление в соответствии с установленными правилами процентов (денежной компенсации) на присужденную работнику в связи с несчастным случаем на производстве сумму компенсации морального вреда за период неисполнения (задержки исполнения) работодателем судебного решения о взыскании с него указанной компенсации начиная со дня, следующего за днем вступления в законную силу указанного решения суда, по день фактического расчета включительно.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Указанная норма предполагает, что за период, когда решение суда о выплате работнику компенсации морального вреда не исполнено, работник, будучи незаконно лишенным причитающихся ему денежных средств, имеет право на применение предусмотренного данной нормой компенсационного механизма.</w:t>
      </w:r>
    </w:p>
    <w:p w14:paraId="05000000">
      <w:pPr>
        <w:pStyle w:val="Style_1"/>
      </w:pPr>
      <w:r>
        <w:rPr>
          <w:rFonts w:ascii="Times New Roman" w:hAnsi="Times New Roman"/>
          <w:b w:val="0"/>
        </w:rPr>
        <w:t>Иное создавало бы предпосылки для нарушения права работника на компенсацию морального вреда в связи с несчастным случаем на производстве путем уклонения работодателя - без каких бы то ни было негативных для него последствий - от своевременного исполнения решения суда о взыскании данной компенсации и тем самым не только необоснованно ограничивало бы право работника на судебную защиту, но и противоречило бы конституционным принципам справедливости, уважения человека труда и самого труда, а также предписаниям об охране труда и здоровья граждан.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2025-12-24T10:18:45Z</dcterms:created>
  <dcterms:modified xsi:type="dcterms:W3CDTF">2025-12-24T10:18:55Z</dcterms:modified>
</cp:coreProperties>
</file>