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DF9D39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9F876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1A18EB" w14:textId="77777777" w:rsidR="00000000" w:rsidRDefault="005F6362">
      <w:pPr>
        <w:pStyle w:val="c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14:paraId="773AA02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F1EB529" w14:textId="77777777" w:rsidR="00000000" w:rsidRDefault="005F6362">
      <w:pPr>
        <w:pStyle w:val="t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</w:t>
      </w:r>
    </w:p>
    <w:p w14:paraId="7818BA56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7B16A47" w14:textId="77777777" w:rsidR="00000000" w:rsidRDefault="005F6362">
      <w:pPr>
        <w:pStyle w:val="t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1C471B82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F70B69" w14:textId="77777777" w:rsidR="00000000" w:rsidRDefault="005F6362">
      <w:pPr>
        <w:pStyle w:val="i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 Государственной Думой                              3 июля 2009 года</w:t>
      </w:r>
    </w:p>
    <w:p w14:paraId="167DBC66" w14:textId="77777777" w:rsidR="00000000" w:rsidRDefault="005F6362">
      <w:pPr>
        <w:pStyle w:val="i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 Советом Федерации                                   7 июля 2009 года</w:t>
      </w:r>
    </w:p>
    <w:p w14:paraId="70B15544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E210517" w14:textId="77777777" w:rsidR="00000000" w:rsidRDefault="005F6362">
      <w:pPr>
        <w:pStyle w:val="c"/>
        <w:spacing w:line="300" w:lineRule="auto"/>
        <w:divId w:val="984894448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498-ФЗ, от 30.09.2024 № 334-ФЗ)</w:t>
      </w:r>
    </w:p>
    <w:p w14:paraId="33CD3912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31328BA" w14:textId="77777777" w:rsidR="00000000" w:rsidRDefault="005F6362">
      <w:pPr>
        <w:pStyle w:val="h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</w:t>
      </w:r>
    </w:p>
    <w:p w14:paraId="710E427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B186901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</w:t>
      </w:r>
      <w:r>
        <w:rPr>
          <w:color w:val="000000"/>
          <w:sz w:val="27"/>
          <w:szCs w:val="27"/>
        </w:rPr>
        <w:t>анения.</w:t>
      </w:r>
    </w:p>
    <w:p w14:paraId="028137CA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</w:t>
      </w:r>
      <w:r>
        <w:rPr>
          <w:color w:val="000000"/>
          <w:sz w:val="27"/>
          <w:szCs w:val="27"/>
        </w:rPr>
        <w:t>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3245ED7E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FB4BB97" w14:textId="77777777" w:rsidR="00000000" w:rsidRDefault="005F6362">
      <w:pPr>
        <w:pStyle w:val="h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</w:t>
      </w:r>
    </w:p>
    <w:p w14:paraId="138D5EE8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17EB5F6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Основными принципами организации антикоррупцио</w:t>
      </w:r>
      <w:r>
        <w:rPr>
          <w:color w:val="000000"/>
          <w:sz w:val="27"/>
          <w:szCs w:val="27"/>
        </w:rPr>
        <w:t>нной экспертизы нормативных правовых актов (проектов нормативных правовых актов) являются:</w:t>
      </w:r>
    </w:p>
    <w:p w14:paraId="65176360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4D4C3EE1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оценка нормативного правового акта (проекта нормативного правового </w:t>
      </w:r>
      <w:r>
        <w:rPr>
          <w:color w:val="000000"/>
          <w:sz w:val="27"/>
          <w:szCs w:val="27"/>
        </w:rPr>
        <w:t xml:space="preserve">акта) во взаимосвязи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14:paraId="011511E3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</w:t>
      </w:r>
      <w:r>
        <w:rPr>
          <w:color w:val="000000"/>
          <w:sz w:val="27"/>
          <w:szCs w:val="27"/>
        </w:rPr>
        <w:t xml:space="preserve"> правовых актов);</w:t>
      </w:r>
    </w:p>
    <w:p w14:paraId="205BE44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0050E464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</w:t>
      </w:r>
      <w:r>
        <w:rPr>
          <w:color w:val="000000"/>
          <w:sz w:val="27"/>
          <w:szCs w:val="27"/>
        </w:rPr>
        <w:t xml:space="preserve">нов государственной власти субъектов Российской Федерации, </w:t>
      </w:r>
      <w:r>
        <w:rPr>
          <w:rStyle w:val="edx"/>
          <w:color w:val="000000"/>
          <w:sz w:val="27"/>
          <w:szCs w:val="27"/>
        </w:rPr>
        <w:t>органов публичной власти федеральных территорий,</w:t>
      </w:r>
      <w:r>
        <w:rPr>
          <w:color w:val="000000"/>
          <w:sz w:val="27"/>
          <w:szCs w:val="27"/>
        </w:rPr>
        <w:t xml:space="preserve"> органов местного самоуправления, а также их должностных лиц (далее - органы, организации, их должностные лица) с институтами гражданского общества п</w:t>
      </w:r>
      <w:r>
        <w:rPr>
          <w:color w:val="000000"/>
          <w:sz w:val="27"/>
          <w:szCs w:val="27"/>
        </w:rPr>
        <w:t>ри проведении антикоррупционной экспертизы нормативных правовых актов (проектов нормативных правовых актов).</w:t>
      </w:r>
      <w:r>
        <w:rPr>
          <w:rStyle w:val="markx"/>
          <w:sz w:val="27"/>
          <w:szCs w:val="27"/>
        </w:rPr>
        <w:t> (В редакции Федерального закона от 30.09.2024 № 334-ФЗ)</w:t>
      </w:r>
    </w:p>
    <w:p w14:paraId="3A568D9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8266A2" w14:textId="77777777" w:rsidR="00000000" w:rsidRDefault="005F6362">
      <w:pPr>
        <w:pStyle w:val="h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</w:t>
      </w:r>
    </w:p>
    <w:p w14:paraId="16A828B3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C2E1851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Антикоррупционная экспертиза нормативных правовых актов (проектов нормативных правовых актов) проводится:</w:t>
      </w:r>
    </w:p>
    <w:p w14:paraId="1F67CB99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color w:val="000000"/>
          <w:sz w:val="27"/>
          <w:szCs w:val="27"/>
        </w:rPr>
        <w:t>, в ус</w:t>
      </w:r>
      <w:r>
        <w:rPr>
          <w:color w:val="000000"/>
          <w:sz w:val="27"/>
          <w:szCs w:val="27"/>
        </w:rPr>
        <w:t>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6BFA5CD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</w:t>
      </w:r>
      <w:r>
        <w:rPr>
          <w:color w:val="000000"/>
          <w:sz w:val="27"/>
          <w:szCs w:val="27"/>
        </w:rPr>
        <w:t>дке и согласно методике, определенным Правительством Российской Федерации;</w:t>
      </w:r>
    </w:p>
    <w:p w14:paraId="7EC856AE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</w:t>
      </w:r>
      <w:r>
        <w:rPr>
          <w:color w:val="000000"/>
          <w:sz w:val="27"/>
          <w:szCs w:val="27"/>
        </w:rPr>
        <w:t xml:space="preserve">ых органов исполнительной власти, иных государственных органов и организаций, органов государственной власти субъектов Российской Федерации, </w:t>
      </w:r>
      <w:r>
        <w:rPr>
          <w:rStyle w:val="edx"/>
          <w:color w:val="000000"/>
          <w:sz w:val="27"/>
          <w:szCs w:val="27"/>
        </w:rPr>
        <w:t>органов публичной власти федеральных территорий,</w:t>
      </w:r>
      <w:r>
        <w:rPr>
          <w:color w:val="000000"/>
          <w:sz w:val="27"/>
          <w:szCs w:val="27"/>
        </w:rPr>
        <w:t xml:space="preserve"> органов местного самоуправления, и согласно методике, определенной</w:t>
      </w:r>
      <w:r>
        <w:rPr>
          <w:color w:val="000000"/>
          <w:sz w:val="27"/>
          <w:szCs w:val="27"/>
        </w:rPr>
        <w:t xml:space="preserve"> Правительством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30.09.2024 № 334-ФЗ)</w:t>
      </w:r>
    </w:p>
    <w:p w14:paraId="66B2426D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</w:t>
      </w:r>
      <w:r>
        <w:rPr>
          <w:color w:val="000000"/>
          <w:sz w:val="27"/>
          <w:szCs w:val="27"/>
        </w:rPr>
        <w:t>просам, касающимся:</w:t>
      </w:r>
    </w:p>
    <w:p w14:paraId="5FAB3B1E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прав, свобод и обязанностей человека и гражданина;</w:t>
      </w:r>
    </w:p>
    <w:p w14:paraId="4707E0D7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</w:t>
      </w:r>
      <w:r>
        <w:rPr>
          <w:color w:val="000000"/>
          <w:sz w:val="27"/>
          <w:szCs w:val="27"/>
        </w:rPr>
        <w:t>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14496403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социальных г</w:t>
      </w:r>
      <w:r>
        <w:rPr>
          <w:color w:val="000000"/>
          <w:sz w:val="27"/>
          <w:szCs w:val="27"/>
        </w:rPr>
        <w:t>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5E8E7AA4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1B03BE39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проектов федераль</w:t>
      </w:r>
      <w:r>
        <w:rPr>
          <w:color w:val="000000"/>
          <w:sz w:val="27"/>
          <w:szCs w:val="27"/>
        </w:rPr>
        <w:t>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</w:t>
      </w:r>
      <w:r>
        <w:rPr>
          <w:color w:val="000000"/>
          <w:sz w:val="27"/>
          <w:szCs w:val="27"/>
        </w:rPr>
        <w:t>овой экспертизы;</w:t>
      </w:r>
    </w:p>
    <w:p w14:paraId="79A53F9C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федеральных законов от 21.11.2011 № 329-ФЗ; от 21.10.2013 № 279-ФЗ)</w:t>
      </w:r>
    </w:p>
    <w:p w14:paraId="538638A2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</w:t>
      </w:r>
      <w:r>
        <w:rPr>
          <w:color w:val="000000"/>
          <w:sz w:val="27"/>
          <w:szCs w:val="27"/>
        </w:rPr>
        <w:t>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14:paraId="5F378D8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713D0C04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4E02FA73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Органы, организации, их долж</w:t>
      </w:r>
      <w:r>
        <w:rPr>
          <w:color w:val="000000"/>
          <w:sz w:val="27"/>
          <w:szCs w:val="27"/>
        </w:rPr>
        <w:t>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634EF780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Антикоррупционная эк</w:t>
      </w:r>
      <w:r>
        <w:rPr>
          <w:color w:val="000000"/>
          <w:sz w:val="27"/>
          <w:szCs w:val="27"/>
        </w:rPr>
        <w:t>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</w:t>
      </w:r>
      <w:r>
        <w:rPr>
          <w:color w:val="000000"/>
          <w:sz w:val="27"/>
          <w:szCs w:val="27"/>
        </w:rPr>
        <w:t xml:space="preserve">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6779CEA7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</w:t>
      </w:r>
      <w:r>
        <w:rPr>
          <w:color w:val="000000"/>
          <w:sz w:val="27"/>
          <w:szCs w:val="27"/>
        </w:rPr>
        <w:t xml:space="preserve">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</w:t>
      </w:r>
      <w:r>
        <w:rPr>
          <w:color w:val="000000"/>
          <w:sz w:val="27"/>
          <w:szCs w:val="27"/>
        </w:rPr>
        <w:t xml:space="preserve">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46F9BEC0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</w:t>
      </w:r>
      <w:r>
        <w:rPr>
          <w:color w:val="000000"/>
          <w:sz w:val="27"/>
          <w:szCs w:val="27"/>
        </w:rPr>
        <w:t xml:space="preserve">ии, которым переданы полномочия реорганизованных и (или) </w:t>
      </w:r>
      <w:r>
        <w:rPr>
          <w:color w:val="000000"/>
          <w:sz w:val="27"/>
          <w:szCs w:val="27"/>
        </w:rPr>
        <w:lastRenderedPageBreak/>
        <w:t>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</w:t>
      </w:r>
      <w:r>
        <w:rPr>
          <w:color w:val="000000"/>
          <w:sz w:val="27"/>
          <w:szCs w:val="27"/>
        </w:rPr>
        <w:t xml:space="preserve">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</w:t>
      </w:r>
      <w:r>
        <w:rPr>
          <w:rStyle w:val="mark"/>
          <w:sz w:val="27"/>
          <w:szCs w:val="27"/>
        </w:rPr>
        <w:t>ный закон от 21.11.2011 № 329-ФЗ)</w:t>
      </w:r>
    </w:p>
    <w:p w14:paraId="76179CAB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E252EC" w14:textId="77777777" w:rsidR="00000000" w:rsidRDefault="005F6362">
      <w:pPr>
        <w:pStyle w:val="h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</w:t>
      </w:r>
    </w:p>
    <w:p w14:paraId="3F93D28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00074C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14:paraId="0D24A3F6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в требовании прокурора об изменении нормативного правового акта или в обращении прокурора</w:t>
      </w:r>
      <w:r>
        <w:rPr>
          <w:color w:val="000000"/>
          <w:sz w:val="27"/>
          <w:szCs w:val="27"/>
        </w:rPr>
        <w:t xml:space="preserve"> в суд в порядке, предусмотренном процессуальным законодательством Российской Федерации;</w:t>
      </w:r>
    </w:p>
    <w:p w14:paraId="51B2D46E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</w:t>
      </w:r>
      <w:r>
        <w:rPr>
          <w:color w:val="000000"/>
          <w:sz w:val="27"/>
          <w:szCs w:val="27"/>
        </w:rPr>
        <w:t>лючение).</w:t>
      </w:r>
    </w:p>
    <w:p w14:paraId="548C656A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291B6B1A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000000"/>
          <w:sz w:val="27"/>
          <w:szCs w:val="27"/>
        </w:rPr>
        <w:t xml:space="preserve"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</w:t>
      </w:r>
      <w:r>
        <w:rPr>
          <w:rStyle w:val="edx"/>
          <w:color w:val="000000"/>
          <w:sz w:val="27"/>
          <w:szCs w:val="27"/>
        </w:rPr>
        <w:t>законодательный орган субъекта Российской Федерации, представительн</w:t>
      </w:r>
      <w:r>
        <w:rPr>
          <w:rStyle w:val="edx"/>
          <w:color w:val="000000"/>
          <w:sz w:val="27"/>
          <w:szCs w:val="27"/>
        </w:rPr>
        <w:t>ый орган федеральной территории</w:t>
      </w:r>
      <w:r>
        <w:rPr>
          <w:color w:val="000000"/>
          <w:sz w:val="27"/>
          <w:szCs w:val="27"/>
        </w:rPr>
        <w:t xml:space="preserve">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</w:t>
      </w:r>
      <w:r>
        <w:rPr>
          <w:color w:val="000000"/>
          <w:sz w:val="27"/>
          <w:szCs w:val="27"/>
        </w:rPr>
        <w:lastRenderedPageBreak/>
        <w:t>соответствии с</w:t>
      </w:r>
      <w:r>
        <w:rPr>
          <w:color w:val="000000"/>
          <w:sz w:val="27"/>
          <w:szCs w:val="27"/>
        </w:rPr>
        <w:t xml:space="preserve"> его компетенцией.</w:t>
      </w:r>
      <w:r>
        <w:rPr>
          <w:rStyle w:val="markx"/>
          <w:sz w:val="27"/>
          <w:szCs w:val="27"/>
        </w:rPr>
        <w:t> (В редакции Федерального закона от 30.09.2024 № 334-ФЗ)</w:t>
      </w:r>
    </w:p>
    <w:p w14:paraId="1BE884E3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423EB408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Заключения, составляемые при проведении антикоррупционной эксперт</w:t>
      </w:r>
      <w:r>
        <w:rPr>
          <w:color w:val="000000"/>
          <w:sz w:val="27"/>
          <w:szCs w:val="27"/>
        </w:rPr>
        <w:t>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</w:t>
      </w:r>
      <w:r>
        <w:rPr>
          <w:color w:val="000000"/>
          <w:sz w:val="27"/>
          <w:szCs w:val="27"/>
        </w:rPr>
        <w:t>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</w:t>
      </w:r>
      <w:r>
        <w:rPr>
          <w:color w:val="000000"/>
          <w:sz w:val="27"/>
          <w:szCs w:val="27"/>
        </w:rPr>
        <w:t xml:space="preserve">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7A8D8041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Заключения, составляемые при проведении антикоррупционной экспертизы в случаях, предусмотрен</w:t>
      </w:r>
      <w:r>
        <w:rPr>
          <w:color w:val="000000"/>
          <w:sz w:val="27"/>
          <w:szCs w:val="27"/>
        </w:rPr>
        <w:t xml:space="preserve">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</w:t>
      </w:r>
      <w:r>
        <w:rPr>
          <w:rStyle w:val="mark"/>
          <w:sz w:val="27"/>
          <w:szCs w:val="27"/>
        </w:rPr>
        <w:t>З)</w:t>
      </w:r>
    </w:p>
    <w:p w14:paraId="217E264A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7F8FB547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2A612C" w14:textId="77777777" w:rsidR="00000000" w:rsidRDefault="005F6362">
      <w:pPr>
        <w:pStyle w:val="h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</w:t>
      </w:r>
    </w:p>
    <w:p w14:paraId="3FDEC2E8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E803AA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Институты гражданск</w:t>
      </w:r>
      <w:r>
        <w:rPr>
          <w:color w:val="000000"/>
          <w:sz w:val="27"/>
          <w:szCs w:val="27"/>
        </w:rPr>
        <w:t>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</w:t>
      </w:r>
      <w:r>
        <w:rPr>
          <w:color w:val="000000"/>
          <w:sz w:val="27"/>
          <w:szCs w:val="27"/>
        </w:rPr>
        <w:t xml:space="preserve">проектов нормативных правовых актов). Порядок и условия аккредитации экспертов по проведению независимой антикоррупционной </w:t>
      </w:r>
      <w:r>
        <w:rPr>
          <w:color w:val="000000"/>
          <w:sz w:val="27"/>
          <w:szCs w:val="27"/>
        </w:rPr>
        <w:lastRenderedPageBreak/>
        <w:t>экспертизы нормативных правовых актов (проектов нормативных правовых актов) устанавливаются федеральным органом исполнительной власти</w:t>
      </w:r>
      <w:r>
        <w:rPr>
          <w:color w:val="000000"/>
          <w:sz w:val="27"/>
          <w:szCs w:val="27"/>
        </w:rPr>
        <w:t xml:space="preserve"> в области юстиции. </w:t>
      </w:r>
      <w:r>
        <w:rPr>
          <w:rStyle w:val="mark"/>
          <w:sz w:val="27"/>
          <w:szCs w:val="27"/>
        </w:rPr>
        <w:t>(В редакции федеральных законов от 21.11.2011 № 329-ФЗ; от 11.10.2018 № 362-ФЗ)</w:t>
      </w:r>
    </w:p>
    <w:p w14:paraId="62E1723D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DE8740F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гражданами, имею</w:t>
      </w:r>
      <w:r>
        <w:rPr>
          <w:color w:val="000000"/>
          <w:sz w:val="27"/>
          <w:szCs w:val="27"/>
        </w:rPr>
        <w:t>щими неснятую или непогашенную судимость;</w:t>
      </w:r>
    </w:p>
    <w:p w14:paraId="59B964D9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</w:t>
      </w:r>
      <w:r>
        <w:rPr>
          <w:color w:val="000000"/>
          <w:sz w:val="27"/>
          <w:szCs w:val="27"/>
        </w:rPr>
        <w:t>с утратой доверия;</w:t>
      </w:r>
    </w:p>
    <w:p w14:paraId="385ECD59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27F8941E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международными и иностранными организациями;</w:t>
      </w:r>
    </w:p>
    <w:p w14:paraId="06571300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иностранными агентами.</w:t>
      </w:r>
      <w:r>
        <w:rPr>
          <w:rStyle w:val="mark"/>
          <w:sz w:val="27"/>
          <w:szCs w:val="27"/>
        </w:rPr>
        <w:t> (В редакции Федеральног</w:t>
      </w:r>
      <w:r>
        <w:rPr>
          <w:rStyle w:val="mark"/>
          <w:sz w:val="27"/>
          <w:szCs w:val="27"/>
        </w:rPr>
        <w:t>о закона от 05.12.2022 № 498-ФЗ)</w:t>
      </w:r>
    </w:p>
    <w:p w14:paraId="5580A12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11.10.2018 № 362-ФЗ)</w:t>
      </w:r>
    </w:p>
    <w:p w14:paraId="42B2E07B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</w:t>
      </w:r>
      <w:r>
        <w:rPr>
          <w:color w:val="000000"/>
          <w:sz w:val="27"/>
          <w:szCs w:val="27"/>
        </w:rPr>
        <w:t>го акта) коррупциогенные факторы и предложены способы их устранения.</w:t>
      </w:r>
    </w:p>
    <w:p w14:paraId="635AB8EE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</w:t>
      </w:r>
      <w:r>
        <w:rPr>
          <w:color w:val="000000"/>
          <w:sz w:val="27"/>
          <w:szCs w:val="27"/>
        </w:rPr>
        <w:t>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</w:t>
      </w:r>
      <w:r>
        <w:rPr>
          <w:color w:val="000000"/>
          <w:sz w:val="27"/>
          <w:szCs w:val="27"/>
        </w:rPr>
        <w:t>ение о способе устранения выявленных коррупциогенных факторов.</w:t>
      </w:r>
    </w:p>
    <w:p w14:paraId="2A757208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A46223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55D2A0" w14:textId="77777777" w:rsidR="00000000" w:rsidRDefault="005F6362">
      <w:pPr>
        <w:pStyle w:val="i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467E0BFB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6C9E7D70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14:paraId="173F290D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 июля 2009 года</w:t>
      </w:r>
    </w:p>
    <w:p w14:paraId="6D1698D5" w14:textId="77777777" w:rsidR="00000000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172-ФЗ</w:t>
      </w:r>
    </w:p>
    <w:p w14:paraId="16F21DAA" w14:textId="77777777" w:rsidR="005F6362" w:rsidRDefault="005F6362">
      <w:pPr>
        <w:pStyle w:val="a3"/>
        <w:spacing w:line="300" w:lineRule="auto"/>
        <w:divId w:val="9848944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5F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D4"/>
    <w:rsid w:val="005F6362"/>
    <w:rsid w:val="00A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7D081"/>
  <w15:chartTrackingRefBased/>
  <w15:docId w15:val="{B8AD17E1-971B-4563-B814-17BE5C38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g03l">
    <w:name w:val="g03l"/>
    <w:basedOn w:val="a"/>
    <w:pPr>
      <w:spacing w:before="100" w:beforeAutospacing="1" w:after="100" w:afterAutospacing="1"/>
    </w:pPr>
  </w:style>
  <w:style w:type="paragraph" w:customStyle="1" w:styleId="g03c">
    <w:name w:val="g03c"/>
    <w:basedOn w:val="a"/>
    <w:pPr>
      <w:spacing w:before="100" w:beforeAutospacing="1" w:after="100" w:afterAutospacing="1"/>
    </w:pPr>
  </w:style>
  <w:style w:type="paragraph" w:customStyle="1" w:styleId="g03r">
    <w:name w:val="g03r"/>
    <w:basedOn w:val="a"/>
    <w:pPr>
      <w:spacing w:before="100" w:beforeAutospacing="1" w:after="100" w:afterAutospacing="1"/>
    </w:pPr>
  </w:style>
  <w:style w:type="paragraph" w:customStyle="1" w:styleId="g03j">
    <w:name w:val="g03j"/>
    <w:basedOn w:val="a"/>
    <w:pPr>
      <w:spacing w:before="100" w:beforeAutospacing="1" w:after="100" w:afterAutospacing="1"/>
    </w:pPr>
  </w:style>
  <w:style w:type="paragraph" w:customStyle="1" w:styleId="g13l">
    <w:name w:val="g13l"/>
    <w:basedOn w:val="a"/>
    <w:pPr>
      <w:spacing w:before="100" w:beforeAutospacing="1" w:after="100" w:afterAutospacing="1"/>
    </w:pPr>
  </w:style>
  <w:style w:type="paragraph" w:customStyle="1" w:styleId="g13c">
    <w:name w:val="g13c"/>
    <w:basedOn w:val="a"/>
    <w:pPr>
      <w:spacing w:before="100" w:beforeAutospacing="1" w:after="100" w:afterAutospacing="1"/>
    </w:pPr>
  </w:style>
  <w:style w:type="paragraph" w:customStyle="1" w:styleId="g13r">
    <w:name w:val="g13r"/>
    <w:basedOn w:val="a"/>
    <w:pPr>
      <w:spacing w:before="100" w:beforeAutospacing="1" w:after="100" w:afterAutospacing="1"/>
    </w:pPr>
  </w:style>
  <w:style w:type="paragraph" w:customStyle="1" w:styleId="g13j">
    <w:name w:val="g13j"/>
    <w:basedOn w:val="a"/>
    <w:pPr>
      <w:spacing w:before="100" w:beforeAutospacing="1" w:after="100" w:afterAutospacing="1"/>
    </w:pPr>
  </w:style>
  <w:style w:type="paragraph" w:customStyle="1" w:styleId="g23l">
    <w:name w:val="g23l"/>
    <w:basedOn w:val="a"/>
    <w:pPr>
      <w:spacing w:before="100" w:beforeAutospacing="1" w:after="100" w:afterAutospacing="1"/>
    </w:pPr>
  </w:style>
  <w:style w:type="paragraph" w:customStyle="1" w:styleId="g23c">
    <w:name w:val="g23c"/>
    <w:basedOn w:val="a"/>
    <w:pPr>
      <w:spacing w:before="100" w:beforeAutospacing="1" w:after="100" w:afterAutospacing="1"/>
    </w:pPr>
  </w:style>
  <w:style w:type="paragraph" w:customStyle="1" w:styleId="g23r">
    <w:name w:val="g23r"/>
    <w:basedOn w:val="a"/>
    <w:pPr>
      <w:spacing w:before="100" w:beforeAutospacing="1" w:after="100" w:afterAutospacing="1"/>
    </w:pPr>
  </w:style>
  <w:style w:type="paragraph" w:customStyle="1" w:styleId="g23j">
    <w:name w:val="g23j"/>
    <w:basedOn w:val="a"/>
    <w:pPr>
      <w:spacing w:before="100" w:beforeAutospacing="1" w:after="100" w:afterAutospacing="1"/>
    </w:pPr>
  </w:style>
  <w:style w:type="paragraph" w:customStyle="1" w:styleId="g33l">
    <w:name w:val="g33l"/>
    <w:basedOn w:val="a"/>
    <w:pPr>
      <w:spacing w:before="100" w:beforeAutospacing="1" w:after="100" w:afterAutospacing="1"/>
    </w:pPr>
  </w:style>
  <w:style w:type="paragraph" w:customStyle="1" w:styleId="g33c">
    <w:name w:val="g33c"/>
    <w:basedOn w:val="a"/>
    <w:pPr>
      <w:spacing w:before="100" w:beforeAutospacing="1" w:after="100" w:afterAutospacing="1"/>
    </w:pPr>
  </w:style>
  <w:style w:type="paragraph" w:customStyle="1" w:styleId="g33r">
    <w:name w:val="g33r"/>
    <w:basedOn w:val="a"/>
    <w:pPr>
      <w:spacing w:before="100" w:beforeAutospacing="1" w:after="100" w:afterAutospacing="1"/>
    </w:pPr>
  </w:style>
  <w:style w:type="paragraph" w:customStyle="1" w:styleId="g33j">
    <w:name w:val="g33j"/>
    <w:basedOn w:val="a"/>
    <w:pPr>
      <w:spacing w:before="100" w:beforeAutospacing="1" w:after="100" w:afterAutospacing="1"/>
    </w:pPr>
  </w:style>
  <w:style w:type="paragraph" w:customStyle="1" w:styleId="g07l">
    <w:name w:val="g07l"/>
    <w:basedOn w:val="a"/>
    <w:pPr>
      <w:spacing w:before="100" w:beforeAutospacing="1" w:after="100" w:afterAutospacing="1"/>
    </w:pPr>
  </w:style>
  <w:style w:type="paragraph" w:customStyle="1" w:styleId="g07c">
    <w:name w:val="g07c"/>
    <w:basedOn w:val="a"/>
    <w:pPr>
      <w:spacing w:before="100" w:beforeAutospacing="1" w:after="100" w:afterAutospacing="1"/>
    </w:pPr>
  </w:style>
  <w:style w:type="paragraph" w:customStyle="1" w:styleId="g07r">
    <w:name w:val="g07r"/>
    <w:basedOn w:val="a"/>
    <w:pPr>
      <w:spacing w:before="100" w:beforeAutospacing="1" w:after="100" w:afterAutospacing="1"/>
    </w:pPr>
  </w:style>
  <w:style w:type="paragraph" w:customStyle="1" w:styleId="g07j">
    <w:name w:val="g07j"/>
    <w:basedOn w:val="a"/>
    <w:pPr>
      <w:spacing w:before="100" w:beforeAutospacing="1" w:after="100" w:afterAutospacing="1"/>
    </w:pPr>
  </w:style>
  <w:style w:type="paragraph" w:customStyle="1" w:styleId="g17l">
    <w:name w:val="g17l"/>
    <w:basedOn w:val="a"/>
    <w:pPr>
      <w:spacing w:before="100" w:beforeAutospacing="1" w:after="100" w:afterAutospacing="1"/>
    </w:pPr>
  </w:style>
  <w:style w:type="paragraph" w:customStyle="1" w:styleId="g17c">
    <w:name w:val="g17c"/>
    <w:basedOn w:val="a"/>
    <w:pPr>
      <w:spacing w:before="100" w:beforeAutospacing="1" w:after="100" w:afterAutospacing="1"/>
    </w:pPr>
  </w:style>
  <w:style w:type="paragraph" w:customStyle="1" w:styleId="g17r">
    <w:name w:val="g17r"/>
    <w:basedOn w:val="a"/>
    <w:pPr>
      <w:spacing w:before="100" w:beforeAutospacing="1" w:after="100" w:afterAutospacing="1"/>
    </w:pPr>
  </w:style>
  <w:style w:type="paragraph" w:customStyle="1" w:styleId="g17j">
    <w:name w:val="g17j"/>
    <w:basedOn w:val="a"/>
    <w:pPr>
      <w:spacing w:before="100" w:beforeAutospacing="1" w:after="100" w:afterAutospacing="1"/>
    </w:pPr>
  </w:style>
  <w:style w:type="paragraph" w:customStyle="1" w:styleId="g27l">
    <w:name w:val="g27l"/>
    <w:basedOn w:val="a"/>
    <w:pPr>
      <w:spacing w:before="100" w:beforeAutospacing="1" w:after="100" w:afterAutospacing="1"/>
    </w:pPr>
  </w:style>
  <w:style w:type="paragraph" w:customStyle="1" w:styleId="g27c">
    <w:name w:val="g27c"/>
    <w:basedOn w:val="a"/>
    <w:pPr>
      <w:spacing w:before="100" w:beforeAutospacing="1" w:after="100" w:afterAutospacing="1"/>
    </w:pPr>
  </w:style>
  <w:style w:type="paragraph" w:customStyle="1" w:styleId="g27r">
    <w:name w:val="g27r"/>
    <w:basedOn w:val="a"/>
    <w:pPr>
      <w:spacing w:before="100" w:beforeAutospacing="1" w:after="100" w:afterAutospacing="1"/>
    </w:pPr>
  </w:style>
  <w:style w:type="paragraph" w:customStyle="1" w:styleId="g27j">
    <w:name w:val="g27j"/>
    <w:basedOn w:val="a"/>
    <w:pPr>
      <w:spacing w:before="100" w:beforeAutospacing="1" w:after="100" w:afterAutospacing="1"/>
    </w:pPr>
  </w:style>
  <w:style w:type="paragraph" w:customStyle="1" w:styleId="g37l">
    <w:name w:val="g37l"/>
    <w:basedOn w:val="a"/>
    <w:pPr>
      <w:spacing w:before="100" w:beforeAutospacing="1" w:after="100" w:afterAutospacing="1"/>
    </w:pPr>
  </w:style>
  <w:style w:type="paragraph" w:customStyle="1" w:styleId="g37c">
    <w:name w:val="g37c"/>
    <w:basedOn w:val="a"/>
    <w:pPr>
      <w:spacing w:before="100" w:beforeAutospacing="1" w:after="100" w:afterAutospacing="1"/>
    </w:pPr>
  </w:style>
  <w:style w:type="paragraph" w:customStyle="1" w:styleId="g37r">
    <w:name w:val="g37r"/>
    <w:basedOn w:val="a"/>
    <w:pPr>
      <w:spacing w:before="100" w:beforeAutospacing="1" w:after="100" w:afterAutospacing="1"/>
    </w:pPr>
  </w:style>
  <w:style w:type="paragraph" w:customStyle="1" w:styleId="g37j">
    <w:name w:val="g37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444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2025-01-28T08:35:00Z</dcterms:created>
  <dcterms:modified xsi:type="dcterms:W3CDTF">2025-01-28T08:35:00Z</dcterms:modified>
</cp:coreProperties>
</file>